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5535" w14:textId="1F9875E3" w:rsidR="00F35783" w:rsidRDefault="00F35783" w:rsidP="00F35783">
      <w:pPr>
        <w:rPr>
          <w:rFonts w:eastAsia="Times New Roman"/>
          <w:lang w:val="en-US" w:eastAsia="en-AU"/>
        </w:rPr>
      </w:pPr>
      <w:r>
        <w:rPr>
          <w:rFonts w:eastAsia="Times New Roman"/>
          <w:b/>
          <w:bCs/>
          <w:lang w:val="en-US" w:eastAsia="en-AU"/>
        </w:rPr>
        <w:t>From:</w:t>
      </w:r>
      <w:r>
        <w:rPr>
          <w:rFonts w:eastAsia="Times New Roman"/>
          <w:lang w:val="en-US" w:eastAsia="en-AU"/>
        </w:rPr>
        <w:t xml:space="preserve"> </w:t>
      </w:r>
      <w:r w:rsidR="00351A4A">
        <w:rPr>
          <w:rFonts w:eastAsia="Times New Roman"/>
          <w:lang w:val="en-US" w:eastAsia="en-AU"/>
        </w:rPr>
        <w:t>Synod Risk Team</w:t>
      </w:r>
      <w:r>
        <w:rPr>
          <w:rFonts w:eastAsia="Times New Roman"/>
          <w:lang w:val="en-US" w:eastAsia="en-AU"/>
        </w:rPr>
        <w:br/>
      </w:r>
      <w:r>
        <w:rPr>
          <w:rFonts w:eastAsia="Times New Roman"/>
          <w:b/>
          <w:bCs/>
          <w:lang w:val="en-US" w:eastAsia="en-AU"/>
        </w:rPr>
        <w:t>Sent:</w:t>
      </w:r>
      <w:r>
        <w:rPr>
          <w:rFonts w:eastAsia="Times New Roman"/>
          <w:lang w:val="en-US" w:eastAsia="en-AU"/>
        </w:rPr>
        <w:t xml:space="preserve"> Friday, 20 May 2022 6:25 PM</w:t>
      </w:r>
      <w:r>
        <w:rPr>
          <w:rFonts w:eastAsia="Times New Roman"/>
          <w:lang w:val="en-US" w:eastAsia="en-AU"/>
        </w:rPr>
        <w:br/>
      </w:r>
      <w:r>
        <w:rPr>
          <w:rFonts w:eastAsia="Times New Roman"/>
          <w:b/>
          <w:bCs/>
          <w:lang w:val="en-US" w:eastAsia="en-AU"/>
        </w:rPr>
        <w:t>To:</w:t>
      </w:r>
      <w:r>
        <w:rPr>
          <w:rFonts w:eastAsia="Times New Roman"/>
          <w:lang w:val="en-US" w:eastAsia="en-AU"/>
        </w:rPr>
        <w:t xml:space="preserve"> Vi Richardson &lt;Admin.ip@nswact.uca.org.au&gt;</w:t>
      </w:r>
      <w:r>
        <w:rPr>
          <w:rFonts w:eastAsia="Times New Roman"/>
          <w:lang w:val="en-US" w:eastAsia="en-AU"/>
        </w:rPr>
        <w:br/>
      </w:r>
      <w:r>
        <w:rPr>
          <w:rFonts w:eastAsia="Times New Roman"/>
          <w:b/>
          <w:bCs/>
          <w:lang w:val="en-US" w:eastAsia="en-AU"/>
        </w:rPr>
        <w:t>Subject:</w:t>
      </w:r>
      <w:r>
        <w:rPr>
          <w:rFonts w:eastAsia="Times New Roman"/>
          <w:lang w:val="en-US" w:eastAsia="en-AU"/>
        </w:rPr>
        <w:t xml:space="preserve"> Testing and tagging</w:t>
      </w:r>
    </w:p>
    <w:p w14:paraId="1AC7D0F6" w14:textId="77777777" w:rsidR="00F35783" w:rsidRDefault="00F35783" w:rsidP="00F35783"/>
    <w:p w14:paraId="6DB6E715" w14:textId="2104F58C" w:rsidR="00F35783" w:rsidRDefault="00F35783" w:rsidP="00F35783">
      <w:r>
        <w:t xml:space="preserve">Here is a bit more information about testing and tagging of electrical equipment. The WHS Regulation only requires inspection and testing of equipment which is being used in a ‘hostile’ </w:t>
      </w:r>
      <w:proofErr w:type="gramStart"/>
      <w:r>
        <w:t>environment;</w:t>
      </w:r>
      <w:proofErr w:type="gramEnd"/>
    </w:p>
    <w:p w14:paraId="1CCBF2CA" w14:textId="77777777" w:rsidR="00F35783" w:rsidRDefault="00F35783" w:rsidP="00F35783"/>
    <w:p w14:paraId="572DE10F" w14:textId="4184E999" w:rsidR="00F35783" w:rsidRDefault="00F35783" w:rsidP="00F35783">
      <w:r>
        <w:rPr>
          <w:noProof/>
        </w:rPr>
        <w:drawing>
          <wp:inline distT="0" distB="0" distL="0" distR="0" wp14:anchorId="419A9200" wp14:editId="4989AB7E">
            <wp:extent cx="5570220" cy="1653540"/>
            <wp:effectExtent l="0" t="0" r="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0220" cy="1653540"/>
                    </a:xfrm>
                    <a:prstGeom prst="rect">
                      <a:avLst/>
                    </a:prstGeom>
                    <a:noFill/>
                    <a:ln>
                      <a:noFill/>
                    </a:ln>
                  </pic:spPr>
                </pic:pic>
              </a:graphicData>
            </a:graphic>
          </wp:inline>
        </w:drawing>
      </w:r>
    </w:p>
    <w:p w14:paraId="161FE6B3" w14:textId="77777777" w:rsidR="00F35783" w:rsidRDefault="00F35783" w:rsidP="00F35783"/>
    <w:p w14:paraId="60E22A3B" w14:textId="77777777" w:rsidR="00F35783" w:rsidRDefault="00F35783" w:rsidP="00F35783">
      <w:pPr>
        <w:shd w:val="clear" w:color="auto" w:fill="FFFFFF"/>
        <w:spacing w:line="235" w:lineRule="atLeast"/>
        <w:rPr>
          <w:lang w:val="en-GB" w:eastAsia="en-AU"/>
        </w:rPr>
      </w:pPr>
      <w:r>
        <w:rPr>
          <w:color w:val="000000"/>
          <w:lang w:val="en-GB" w:eastAsia="en-AU"/>
        </w:rPr>
        <w:t xml:space="preserve">For that reason, we usually suggest that cords and electrical items are regularly visually inspected, and for many of our congregations, that could cover it unless they identify an additional need as we do have activities and ministries where the risk is higher. </w:t>
      </w:r>
    </w:p>
    <w:p w14:paraId="5F7B0507" w14:textId="77777777" w:rsidR="00F35783" w:rsidRDefault="00F35783" w:rsidP="00F35783">
      <w:pPr>
        <w:shd w:val="clear" w:color="auto" w:fill="FFFFFF"/>
        <w:spacing w:line="235" w:lineRule="atLeast"/>
        <w:rPr>
          <w:lang w:val="en-GB" w:eastAsia="en-AU"/>
        </w:rPr>
      </w:pPr>
    </w:p>
    <w:p w14:paraId="0D7CD774" w14:textId="77777777" w:rsidR="00F35783" w:rsidRDefault="00F35783" w:rsidP="00F35783">
      <w:pPr>
        <w:shd w:val="clear" w:color="auto" w:fill="FFFFFF"/>
        <w:spacing w:line="235" w:lineRule="atLeast"/>
        <w:rPr>
          <w:lang w:val="en-GB" w:eastAsia="en-AU"/>
        </w:rPr>
      </w:pPr>
      <w:r>
        <w:rPr>
          <w:color w:val="000000"/>
          <w:lang w:val="en-GB" w:eastAsia="en-AU"/>
        </w:rPr>
        <w:t xml:space="preserve">The Code of Practice on managing electrical hazards recommends following the Australian Standard on Safety Inspection and Testing. This sets out expectations for best practice in this area. For most congregations, formal testing and tagging could be 5 </w:t>
      </w:r>
      <w:proofErr w:type="gramStart"/>
      <w:r>
        <w:rPr>
          <w:color w:val="000000"/>
          <w:lang w:val="en-GB" w:eastAsia="en-AU"/>
        </w:rPr>
        <w:t>yearly</w:t>
      </w:r>
      <w:proofErr w:type="gramEnd"/>
      <w:r>
        <w:rPr>
          <w:color w:val="000000"/>
          <w:lang w:val="en-GB" w:eastAsia="en-AU"/>
        </w:rPr>
        <w:t>, and testing of the RCD every 6 months as per the table below (from AS/NZS 3760:2010);</w:t>
      </w:r>
    </w:p>
    <w:p w14:paraId="096244ED" w14:textId="197FE9A5" w:rsidR="00F35783" w:rsidRDefault="00F35783" w:rsidP="00F35783">
      <w:r>
        <w:rPr>
          <w:noProof/>
        </w:rPr>
        <w:drawing>
          <wp:anchor distT="0" distB="0" distL="114300" distR="114300" simplePos="0" relativeHeight="251659264" behindDoc="0" locked="0" layoutInCell="1" allowOverlap="1" wp14:anchorId="299E867F" wp14:editId="198835AD">
            <wp:simplePos x="0" y="0"/>
            <wp:positionH relativeFrom="column">
              <wp:posOffset>1778000</wp:posOffset>
            </wp:positionH>
            <wp:positionV relativeFrom="paragraph">
              <wp:posOffset>3549015</wp:posOffset>
            </wp:positionV>
            <wp:extent cx="4140200" cy="1365250"/>
            <wp:effectExtent l="0" t="0" r="0" b="6350"/>
            <wp:wrapNone/>
            <wp:docPr id="3" name="Picture 3" descr="A picture containing laser, red, hula hoop, wor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laser, red, hula hoop, worm&#10;&#10;Description automatically generated"/>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0200" cy="1365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DFD800" wp14:editId="3110AC80">
            <wp:extent cx="5731510" cy="4487545"/>
            <wp:effectExtent l="0" t="0" r="2540" b="825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487545"/>
                    </a:xfrm>
                    <a:prstGeom prst="rect">
                      <a:avLst/>
                    </a:prstGeom>
                    <a:noFill/>
                    <a:ln>
                      <a:noFill/>
                    </a:ln>
                  </pic:spPr>
                </pic:pic>
              </a:graphicData>
            </a:graphic>
          </wp:inline>
        </w:drawing>
      </w:r>
    </w:p>
    <w:p w14:paraId="19FAEC07" w14:textId="77777777" w:rsidR="00F35783" w:rsidRDefault="00F35783" w:rsidP="00F35783"/>
    <w:sectPr w:rsidR="00F35783" w:rsidSect="00F357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83"/>
    <w:rsid w:val="00351A4A"/>
    <w:rsid w:val="00CA2547"/>
    <w:rsid w:val="00F357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1FA9"/>
  <w15:chartTrackingRefBased/>
  <w15:docId w15:val="{9C0A51A7-D1FF-4798-85C2-395779CC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7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 Richardson</dc:creator>
  <cp:keywords/>
  <dc:description/>
  <cp:lastModifiedBy>Vi Richardson</cp:lastModifiedBy>
  <cp:revision>2</cp:revision>
  <dcterms:created xsi:type="dcterms:W3CDTF">2022-05-20T19:53:00Z</dcterms:created>
  <dcterms:modified xsi:type="dcterms:W3CDTF">2023-08-04T20:51:00Z</dcterms:modified>
</cp:coreProperties>
</file>